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249228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5137C" w:rsidRPr="00780C89">
        <w:rPr>
          <w:rFonts w:ascii="Calibri" w:hAnsi="Calibri"/>
        </w:rPr>
        <w:t>VTS43-</w:t>
      </w:r>
      <w:r w:rsidR="00780C89" w:rsidRPr="00780C89">
        <w:rPr>
          <w:rFonts w:ascii="Calibri" w:hAnsi="Calibri"/>
        </w:rPr>
        <w:t>3.2.2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C8139E8"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85137C">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5137C">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EC93A7C"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5137C">
        <w:rPr>
          <w:rFonts w:ascii="Calibri" w:hAnsi="Calibri"/>
        </w:rPr>
        <w:t>Committee Secretary</w:t>
      </w:r>
    </w:p>
    <w:p w14:paraId="60BCC120" w14:textId="77777777" w:rsidR="0080294B" w:rsidRPr="007A395D" w:rsidRDefault="0080294B" w:rsidP="00FE5674">
      <w:pPr>
        <w:pStyle w:val="BodyText"/>
        <w:tabs>
          <w:tab w:val="left" w:pos="2835"/>
        </w:tabs>
        <w:rPr>
          <w:rFonts w:ascii="Calibri" w:hAnsi="Calibri"/>
        </w:rPr>
      </w:pPr>
    </w:p>
    <w:p w14:paraId="4834080C" w14:textId="27D1CA47" w:rsidR="00A446C9" w:rsidRPr="00605E43" w:rsidRDefault="0085137C" w:rsidP="00A446C9">
      <w:pPr>
        <w:pStyle w:val="Title"/>
        <w:rPr>
          <w:rFonts w:ascii="Calibri" w:hAnsi="Calibri"/>
          <w:color w:val="0070C0"/>
        </w:rPr>
      </w:pPr>
      <w:r>
        <w:rPr>
          <w:rFonts w:ascii="Calibri" w:hAnsi="Calibri"/>
          <w:color w:val="0070C0"/>
        </w:rPr>
        <w:t>Revision of Working Papers</w:t>
      </w:r>
    </w:p>
    <w:p w14:paraId="0F258596" w14:textId="50FB6E37" w:rsidR="00A446C9" w:rsidRPr="00605E43" w:rsidRDefault="00A446C9" w:rsidP="00605E43">
      <w:pPr>
        <w:pStyle w:val="Heading1"/>
      </w:pPr>
      <w:r w:rsidRPr="00605E43">
        <w:t>Summary</w:t>
      </w:r>
    </w:p>
    <w:p w14:paraId="5432CFB6" w14:textId="67C10649" w:rsidR="00B56BDF" w:rsidRDefault="0085137C" w:rsidP="00B56BDF">
      <w:pPr>
        <w:pStyle w:val="BodyText"/>
        <w:rPr>
          <w:rFonts w:ascii="Calibri" w:hAnsi="Calibri"/>
        </w:rPr>
      </w:pPr>
      <w:r>
        <w:rPr>
          <w:rFonts w:ascii="Calibri" w:hAnsi="Calibri"/>
        </w:rPr>
        <w:t>IALA is converting all Recommendations and Guidelines in the new IALA branding. All documents should also apply to the new rules for documentation.</w:t>
      </w:r>
      <w:r w:rsidR="00122B34" w:rsidRPr="00122B34">
        <w:rPr>
          <w:rFonts w:ascii="Calibri" w:hAnsi="Calibri"/>
        </w:rPr>
        <w:t xml:space="preserve"> </w:t>
      </w:r>
      <w:r w:rsidR="00122B34">
        <w:rPr>
          <w:rFonts w:ascii="Calibri" w:hAnsi="Calibri"/>
        </w:rPr>
        <w:t>It is expected that all Committees will finalise many documents in this working period.</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43E4CEF" w:rsidR="00E55927" w:rsidRPr="007A395D" w:rsidRDefault="0085137C" w:rsidP="00E55927">
      <w:pPr>
        <w:pStyle w:val="BodyText"/>
        <w:rPr>
          <w:rFonts w:ascii="Calibri" w:hAnsi="Calibri"/>
        </w:rPr>
      </w:pPr>
      <w:r>
        <w:rPr>
          <w:rFonts w:ascii="Calibri" w:hAnsi="Calibri"/>
        </w:rPr>
        <w:t>Because the VTS Committee is revising some existing documents and drafting new documents since a couple of Committee meetings</w:t>
      </w:r>
      <w:r w:rsidR="004213FE">
        <w:rPr>
          <w:rFonts w:ascii="Calibri" w:hAnsi="Calibri"/>
        </w:rPr>
        <w:t>,</w:t>
      </w:r>
      <w:r>
        <w:rPr>
          <w:rFonts w:ascii="Calibri" w:hAnsi="Calibri"/>
        </w:rPr>
        <w:t xml:space="preserve"> it was requested to Mike Hadley to convert Working Papers into the new format on beforehand. This in order to overload him </w:t>
      </w:r>
      <w:r w:rsidR="004213FE">
        <w:rPr>
          <w:rFonts w:ascii="Calibri" w:hAnsi="Calibri"/>
        </w:rPr>
        <w:t xml:space="preserve">with </w:t>
      </w:r>
      <w:r>
        <w:rPr>
          <w:rFonts w:ascii="Calibri" w:hAnsi="Calibri"/>
        </w:rPr>
        <w:t>Committee approv</w:t>
      </w:r>
      <w:r w:rsidR="004213FE">
        <w:rPr>
          <w:rFonts w:ascii="Calibri" w:hAnsi="Calibri"/>
        </w:rPr>
        <w:t>ed</w:t>
      </w:r>
      <w:r>
        <w:rPr>
          <w:rFonts w:ascii="Calibri" w:hAnsi="Calibri"/>
        </w:rPr>
        <w:t xml:space="preserve"> new or revised documents </w:t>
      </w:r>
      <w:r w:rsidR="004213FE">
        <w:rPr>
          <w:rFonts w:ascii="Calibri" w:hAnsi="Calibri"/>
        </w:rPr>
        <w:t>after</w:t>
      </w:r>
      <w:r>
        <w:rPr>
          <w:rFonts w:ascii="Calibri" w:hAnsi="Calibri"/>
        </w:rPr>
        <w:t xml:space="preserve"> the next two Committee meetings.</w:t>
      </w:r>
      <w:r w:rsidR="00122B34">
        <w:rPr>
          <w:rFonts w:ascii="Calibri" w:hAnsi="Calibri"/>
        </w:rPr>
        <w:t xml:space="preserve"> </w:t>
      </w:r>
    </w:p>
    <w:p w14:paraId="36D645BE" w14:textId="77777777" w:rsidR="00B56BDF" w:rsidRPr="007A395D" w:rsidRDefault="00B56BDF" w:rsidP="00605E43">
      <w:pPr>
        <w:pStyle w:val="Heading2"/>
      </w:pPr>
      <w:r w:rsidRPr="007A395D">
        <w:t>Related documents</w:t>
      </w:r>
    </w:p>
    <w:p w14:paraId="553E55ED" w14:textId="340A5FBF" w:rsidR="00E55927" w:rsidRDefault="004213FE" w:rsidP="00E55927">
      <w:pPr>
        <w:pStyle w:val="BodyText"/>
        <w:rPr>
          <w:rFonts w:ascii="Calibri" w:hAnsi="Calibri"/>
        </w:rPr>
      </w:pPr>
      <w:r>
        <w:rPr>
          <w:rFonts w:ascii="Calibri" w:hAnsi="Calibri"/>
        </w:rPr>
        <w:t>The following Working Papers were reviewed</w:t>
      </w:r>
      <w:r w:rsidR="00E55927" w:rsidRPr="007A395D">
        <w:rPr>
          <w:rFonts w:ascii="Calibri" w:hAnsi="Calibri"/>
        </w:rPr>
        <w:t>.</w:t>
      </w:r>
    </w:p>
    <w:p w14:paraId="3772521D" w14:textId="14E98FCE" w:rsidR="004213FE" w:rsidRP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VTS42-12.2.2</w:t>
      </w:r>
      <w:r w:rsidR="00186431">
        <w:rPr>
          <w:rFonts w:ascii="Calibri" w:hAnsi="Calibri"/>
        </w:rPr>
        <w:t>/VTS43-8.3.1</w:t>
      </w:r>
      <w:r w:rsidRPr="004213FE">
        <w:rPr>
          <w:rFonts w:ascii="Calibri" w:hAnsi="Calibri"/>
        </w:rPr>
        <w:t xml:space="preserve"> draft Guideline on Measures to Evaluate the Effectiveness of VTS</w:t>
      </w:r>
      <w:r>
        <w:rPr>
          <w:rFonts w:ascii="Calibri" w:hAnsi="Calibri"/>
        </w:rPr>
        <w:t xml:space="preserve">    VTS43-8.3.2</w:t>
      </w:r>
    </w:p>
    <w:p w14:paraId="37C4F5A2" w14:textId="54294E90" w:rsidR="004213FE" w:rsidRP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VTS42-12.2.3</w:t>
      </w:r>
      <w:r w:rsidR="00186431">
        <w:rPr>
          <w:rFonts w:ascii="Calibri" w:hAnsi="Calibri"/>
        </w:rPr>
        <w:t>/VTS43-8.5.1</w:t>
      </w:r>
      <w:r w:rsidRPr="004213FE">
        <w:rPr>
          <w:rFonts w:ascii="Calibri" w:hAnsi="Calibri"/>
        </w:rPr>
        <w:t xml:space="preserve"> draft Guideline on VTS Radiotelegraphy Communications</w:t>
      </w:r>
      <w:r>
        <w:rPr>
          <w:rFonts w:ascii="Calibri" w:hAnsi="Calibri"/>
        </w:rPr>
        <w:tab/>
        <w:t xml:space="preserve">   </w:t>
      </w:r>
      <w:r w:rsidR="00186431">
        <w:rPr>
          <w:rFonts w:ascii="Calibri" w:hAnsi="Calibri"/>
        </w:rPr>
        <w:t xml:space="preserve"> </w:t>
      </w:r>
      <w:r>
        <w:rPr>
          <w:rFonts w:ascii="Calibri" w:hAnsi="Calibri"/>
        </w:rPr>
        <w:t xml:space="preserve"> </w:t>
      </w:r>
      <w:r w:rsidR="00186431">
        <w:rPr>
          <w:rFonts w:ascii="Calibri" w:hAnsi="Calibri"/>
        </w:rPr>
        <w:t xml:space="preserve">         </w:t>
      </w:r>
      <w:r>
        <w:rPr>
          <w:rFonts w:ascii="Calibri" w:hAnsi="Calibri"/>
        </w:rPr>
        <w:t xml:space="preserve"> VTS43-8.5.2</w:t>
      </w:r>
    </w:p>
    <w:p w14:paraId="1A100C30" w14:textId="07D51BEB" w:rsidR="004213FE" w:rsidRP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VTS42-12.2.4</w:t>
      </w:r>
      <w:r w:rsidR="00186431">
        <w:rPr>
          <w:rFonts w:ascii="Calibri" w:hAnsi="Calibri"/>
        </w:rPr>
        <w:t>/VTS43-9.1.1</w:t>
      </w:r>
      <w:r w:rsidRPr="004213FE">
        <w:rPr>
          <w:rFonts w:ascii="Calibri" w:hAnsi="Calibri"/>
        </w:rPr>
        <w:t xml:space="preserve"> draft Recommendation on Portrayal of VTS information and data</w:t>
      </w:r>
      <w:r w:rsidR="00186431">
        <w:rPr>
          <w:rFonts w:ascii="Calibri" w:hAnsi="Calibri"/>
        </w:rPr>
        <w:t xml:space="preserve">   </w:t>
      </w:r>
      <w:r>
        <w:rPr>
          <w:rFonts w:ascii="Calibri" w:hAnsi="Calibri"/>
        </w:rPr>
        <w:t xml:space="preserve"> VTS43-9.1.2</w:t>
      </w:r>
    </w:p>
    <w:p w14:paraId="74B05A16" w14:textId="1A3EF59C" w:rsidR="004213FE" w:rsidRP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VTS42-12.2.5</w:t>
      </w:r>
      <w:r w:rsidR="00186431">
        <w:rPr>
          <w:rFonts w:ascii="Calibri" w:hAnsi="Calibri"/>
        </w:rPr>
        <w:t>/VTS43-9.2.1</w:t>
      </w:r>
      <w:r w:rsidRPr="004213FE">
        <w:rPr>
          <w:rFonts w:ascii="Calibri" w:hAnsi="Calibri"/>
        </w:rPr>
        <w:t>draft Guideline on Acceptance of VTS systems</w:t>
      </w:r>
      <w:r>
        <w:rPr>
          <w:rFonts w:ascii="Calibri" w:hAnsi="Calibri"/>
        </w:rPr>
        <w:tab/>
      </w:r>
      <w:r>
        <w:rPr>
          <w:rFonts w:ascii="Calibri" w:hAnsi="Calibri"/>
        </w:rPr>
        <w:tab/>
      </w:r>
      <w:r>
        <w:rPr>
          <w:rFonts w:ascii="Calibri" w:hAnsi="Calibri"/>
        </w:rPr>
        <w:tab/>
        <w:t xml:space="preserve"> VTS43-9.2.2</w:t>
      </w:r>
    </w:p>
    <w:p w14:paraId="2C7CF73A" w14:textId="37633737" w:rsidR="004213FE" w:rsidRP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VTS42-12.2.6</w:t>
      </w:r>
      <w:r w:rsidR="00186431">
        <w:rPr>
          <w:rFonts w:ascii="Calibri" w:hAnsi="Calibri"/>
        </w:rPr>
        <w:t>/VTS43-9.3.1</w:t>
      </w:r>
      <w:r w:rsidRPr="004213FE">
        <w:rPr>
          <w:rFonts w:ascii="Calibri" w:hAnsi="Calibri"/>
        </w:rPr>
        <w:t xml:space="preserve"> draft Guideline on the interaction with other stakeholders</w:t>
      </w:r>
      <w:r w:rsidR="00186431">
        <w:rPr>
          <w:rFonts w:ascii="Calibri" w:hAnsi="Calibri"/>
        </w:rPr>
        <w:tab/>
      </w:r>
      <w:r>
        <w:rPr>
          <w:rFonts w:ascii="Calibri" w:hAnsi="Calibri"/>
        </w:rPr>
        <w:t xml:space="preserve"> </w:t>
      </w:r>
      <w:r w:rsidR="00186431">
        <w:rPr>
          <w:rFonts w:ascii="Calibri" w:hAnsi="Calibri"/>
        </w:rPr>
        <w:t xml:space="preserve">     </w:t>
      </w:r>
      <w:r>
        <w:rPr>
          <w:rFonts w:ascii="Calibri" w:hAnsi="Calibri"/>
        </w:rPr>
        <w:t xml:space="preserve"> </w:t>
      </w:r>
      <w:r w:rsidR="00186431">
        <w:rPr>
          <w:rFonts w:ascii="Calibri" w:hAnsi="Calibri"/>
        </w:rPr>
        <w:t xml:space="preserve">        </w:t>
      </w:r>
      <w:r>
        <w:rPr>
          <w:rFonts w:ascii="Calibri" w:hAnsi="Calibri"/>
        </w:rPr>
        <w:t>VTS43-9.3.2</w:t>
      </w:r>
    </w:p>
    <w:p w14:paraId="512541DD" w14:textId="4BDC0E9C" w:rsidR="004213FE" w:rsidRDefault="004213FE" w:rsidP="004213FE">
      <w:pPr>
        <w:pStyle w:val="ListParagraph"/>
        <w:numPr>
          <w:ilvl w:val="0"/>
          <w:numId w:val="45"/>
        </w:numPr>
        <w:ind w:left="284" w:hanging="284"/>
        <w:contextualSpacing w:val="0"/>
        <w:rPr>
          <w:rFonts w:ascii="Calibri" w:hAnsi="Calibri"/>
        </w:rPr>
      </w:pPr>
      <w:r w:rsidRPr="004213FE">
        <w:rPr>
          <w:rFonts w:ascii="Calibri" w:hAnsi="Calibri"/>
        </w:rPr>
        <w:t>VTS42-12.2.7</w:t>
      </w:r>
      <w:r w:rsidR="00186431">
        <w:rPr>
          <w:rFonts w:ascii="Calibri" w:hAnsi="Calibri"/>
        </w:rPr>
        <w:t>/VTS43-10.2.1</w:t>
      </w:r>
      <w:r w:rsidRPr="004213FE">
        <w:rPr>
          <w:rFonts w:ascii="Calibri" w:hAnsi="Calibri"/>
        </w:rPr>
        <w:t xml:space="preserve"> draft revision Recommendation V-103</w:t>
      </w:r>
      <w:r w:rsidR="00186431">
        <w:rPr>
          <w:rFonts w:ascii="Calibri" w:hAnsi="Calibri"/>
        </w:rPr>
        <w:tab/>
      </w:r>
      <w:r w:rsidR="00186431">
        <w:rPr>
          <w:rFonts w:ascii="Calibri" w:hAnsi="Calibri"/>
        </w:rPr>
        <w:tab/>
      </w:r>
      <w:r w:rsidR="00186431">
        <w:rPr>
          <w:rFonts w:ascii="Calibri" w:hAnsi="Calibri"/>
        </w:rPr>
        <w:tab/>
        <w:t xml:space="preserve">             VTS43-10.2.2</w:t>
      </w:r>
    </w:p>
    <w:p w14:paraId="62F43F8E" w14:textId="720571C4" w:rsidR="00186431" w:rsidRPr="004213FE" w:rsidRDefault="00186431" w:rsidP="004213FE">
      <w:pPr>
        <w:pStyle w:val="ListParagraph"/>
        <w:numPr>
          <w:ilvl w:val="0"/>
          <w:numId w:val="45"/>
        </w:numPr>
        <w:ind w:left="284" w:hanging="284"/>
        <w:contextualSpacing w:val="0"/>
        <w:rPr>
          <w:rFonts w:ascii="Calibri" w:hAnsi="Calibri"/>
        </w:rPr>
      </w:pPr>
      <w:r>
        <w:rPr>
          <w:rFonts w:ascii="Calibri" w:hAnsi="Calibri"/>
        </w:rPr>
        <w:t xml:space="preserve">                         </w:t>
      </w:r>
      <w:r>
        <w:rPr>
          <w:rFonts w:ascii="Calibri" w:hAnsi="Calibri"/>
        </w:rPr>
        <w:tab/>
        <w:t xml:space="preserve">            draft Guideline on the Standards for Training and Certification      VTS43-10.2.3</w:t>
      </w:r>
    </w:p>
    <w:p w14:paraId="20D1671E" w14:textId="77777777" w:rsidR="004213FE" w:rsidRDefault="004213FE" w:rsidP="00E55927">
      <w:pPr>
        <w:pStyle w:val="BodyText"/>
        <w:rPr>
          <w:rFonts w:ascii="Calibri" w:hAnsi="Calibri"/>
        </w:rPr>
      </w:pPr>
    </w:p>
    <w:p w14:paraId="279E3EC0" w14:textId="6C063913" w:rsidR="004A0048" w:rsidRDefault="004A0048" w:rsidP="00E55927">
      <w:pPr>
        <w:pStyle w:val="BodyText"/>
        <w:rPr>
          <w:rFonts w:ascii="Calibri" w:hAnsi="Calibri"/>
        </w:rPr>
      </w:pPr>
      <w:r>
        <w:rPr>
          <w:rFonts w:ascii="Calibri" w:hAnsi="Calibri"/>
        </w:rPr>
        <w:t>All Working Papers from VTS42 are available now in unchanged format and converted/reviewed format as input to VTS43.</w:t>
      </w:r>
    </w:p>
    <w:p w14:paraId="55EA6B35" w14:textId="0516B5E0" w:rsidR="00186431" w:rsidRDefault="00186431" w:rsidP="00E55927">
      <w:pPr>
        <w:pStyle w:val="BodyText"/>
        <w:rPr>
          <w:rFonts w:ascii="Calibri" w:hAnsi="Calibri"/>
        </w:rPr>
      </w:pPr>
      <w:r>
        <w:rPr>
          <w:rFonts w:ascii="Calibri" w:hAnsi="Calibri"/>
        </w:rPr>
        <w:t>The left references are the output VTS42 and input VTS43 numbers of the original documents respectively.</w:t>
      </w:r>
    </w:p>
    <w:p w14:paraId="309381E7" w14:textId="6AEC144D" w:rsidR="00186431" w:rsidRDefault="00186431" w:rsidP="00E55927">
      <w:pPr>
        <w:pStyle w:val="BodyText"/>
        <w:rPr>
          <w:rFonts w:ascii="Calibri" w:hAnsi="Calibri"/>
        </w:rPr>
      </w:pPr>
      <w:r>
        <w:rPr>
          <w:rFonts w:ascii="Calibri" w:hAnsi="Calibri"/>
        </w:rPr>
        <w:t>The right references are the input VTS43 numbers of the converted/reviewed documents.</w:t>
      </w:r>
    </w:p>
    <w:p w14:paraId="7DD3CEFF" w14:textId="30C60FFD" w:rsidR="00186431" w:rsidRPr="007A395D" w:rsidRDefault="00186431" w:rsidP="00E55927">
      <w:pPr>
        <w:pStyle w:val="BodyText"/>
        <w:rPr>
          <w:rFonts w:ascii="Calibri" w:hAnsi="Calibri"/>
        </w:rPr>
      </w:pPr>
      <w:r>
        <w:rPr>
          <w:rFonts w:ascii="Calibri" w:hAnsi="Calibri"/>
        </w:rPr>
        <w:t xml:space="preserve">Mike Hadley took the opportunity </w:t>
      </w:r>
      <w:r w:rsidR="004A0048">
        <w:rPr>
          <w:rFonts w:ascii="Calibri" w:hAnsi="Calibri"/>
        </w:rPr>
        <w:t xml:space="preserve">proposing </w:t>
      </w:r>
      <w:r>
        <w:rPr>
          <w:rFonts w:ascii="Calibri" w:hAnsi="Calibri"/>
        </w:rPr>
        <w:t>to split Recommendation V-103</w:t>
      </w:r>
      <w:r w:rsidR="004A0048">
        <w:rPr>
          <w:rFonts w:ascii="Calibri" w:hAnsi="Calibri"/>
        </w:rPr>
        <w:t xml:space="preserve"> into the Recommendation V-103 and a new Guideline in order to comply with the new document strategy.</w:t>
      </w:r>
    </w:p>
    <w:p w14:paraId="7A8D2F27" w14:textId="77777777" w:rsidR="00A446C9" w:rsidRPr="007A395D" w:rsidRDefault="00A446C9" w:rsidP="00605E43">
      <w:pPr>
        <w:pStyle w:val="Heading1"/>
      </w:pPr>
      <w:r w:rsidRPr="007A395D">
        <w:lastRenderedPageBreak/>
        <w:t>Action requested of the Committee</w:t>
      </w:r>
    </w:p>
    <w:p w14:paraId="726B9325" w14:textId="05B48E8C" w:rsidR="00780C89" w:rsidRDefault="00780C89" w:rsidP="004A0048">
      <w:pPr>
        <w:pStyle w:val="BodyText"/>
        <w:rPr>
          <w:rFonts w:ascii="Calibri" w:hAnsi="Calibri"/>
        </w:rPr>
      </w:pPr>
      <w:r>
        <w:rPr>
          <w:rFonts w:ascii="Calibri" w:hAnsi="Calibri"/>
        </w:rPr>
        <w:t>The Working Groups responsible for the converted documents are requested to check the conversion with the original working documents. Attention is given to the fact that ‘track changes’ are disappeared during the conversion. If the Working Group, for any reason,</w:t>
      </w:r>
      <w:bookmarkStart w:id="0" w:name="_GoBack"/>
      <w:bookmarkEnd w:id="0"/>
      <w:r>
        <w:rPr>
          <w:rFonts w:ascii="Calibri" w:hAnsi="Calibri"/>
        </w:rPr>
        <w:t xml:space="preserve"> cannot accept the converted version, the work in progress can be continued using the original output from VTS42.</w:t>
      </w:r>
    </w:p>
    <w:p w14:paraId="7A9FD49F" w14:textId="0E17BB67" w:rsidR="00F25BF4" w:rsidRPr="007A395D" w:rsidRDefault="004A0048" w:rsidP="004A0048">
      <w:pPr>
        <w:pStyle w:val="BodyText"/>
        <w:rPr>
          <w:rFonts w:ascii="Calibri" w:hAnsi="Calibri"/>
        </w:rPr>
      </w:pPr>
      <w:r>
        <w:rPr>
          <w:rFonts w:ascii="Calibri" w:hAnsi="Calibri"/>
        </w:rPr>
        <w:t>The Committee is requested to consider the converted/reviewed documents and finalise</w:t>
      </w:r>
      <w:r w:rsidR="00DC251D">
        <w:rPr>
          <w:rFonts w:ascii="Calibri" w:hAnsi="Calibri"/>
        </w:rPr>
        <w:t xml:space="preserve"> them</w:t>
      </w:r>
      <w:r>
        <w:rPr>
          <w:rFonts w:ascii="Calibri" w:hAnsi="Calibri"/>
        </w:rPr>
        <w:t xml:space="preserve"> if changed versions are accepted.</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0005D3">
      <w:pPr>
        <w:pStyle w:val="AnnexHeading1"/>
        <w:rPr>
          <w:rFonts w:ascii="Calibri" w:hAnsi="Calibri"/>
          <w:color w:val="4F81BD" w:themeColor="accent1"/>
        </w:rPr>
      </w:pPr>
      <w:r w:rsidRPr="007A395D">
        <w:rPr>
          <w:rFonts w:ascii="Calibri" w:hAnsi="Calibri"/>
          <w:color w:val="4F81BD" w:themeColor="accent1"/>
        </w:rPr>
        <w:t>Annex Heading 1</w:t>
      </w:r>
    </w:p>
    <w:p w14:paraId="4D444F7A" w14:textId="77777777" w:rsidR="004D1D85" w:rsidRPr="007A395D" w:rsidRDefault="004D1D85" w:rsidP="004D1D85">
      <w:pPr>
        <w:pStyle w:val="AnnexHeading2"/>
        <w:rPr>
          <w:rFonts w:ascii="Calibri" w:hAnsi="Calibri"/>
          <w:color w:val="4F81BD" w:themeColor="accent1"/>
        </w:rPr>
      </w:pPr>
      <w:r w:rsidRPr="007A395D">
        <w:rPr>
          <w:rFonts w:ascii="Calibri" w:hAnsi="Calibri"/>
          <w:color w:val="4F81BD" w:themeColor="accent1"/>
        </w:rPr>
        <w:t>Annex heading 2</w:t>
      </w:r>
    </w:p>
    <w:p w14:paraId="50A9DE60" w14:textId="77777777" w:rsidR="004D1D85" w:rsidRPr="007A395D" w:rsidRDefault="004D1D85" w:rsidP="004D1D85">
      <w:pPr>
        <w:pStyle w:val="AnnexHeading3"/>
        <w:rPr>
          <w:rFonts w:ascii="Calibri" w:hAnsi="Calibri"/>
          <w:color w:val="4F81BD" w:themeColor="accent1"/>
        </w:rPr>
      </w:pPr>
      <w:r w:rsidRPr="007A395D">
        <w:rPr>
          <w:rFonts w:ascii="Calibri" w:hAnsi="Calibri"/>
          <w:color w:val="4F81BD" w:themeColor="accent1"/>
        </w:rPr>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0005D3">
      <w:pPr>
        <w:pStyle w:val="AnnexHeading1"/>
        <w:numPr>
          <w:ilvl w:val="0"/>
          <w:numId w:val="42"/>
        </w:numPr>
        <w:rPr>
          <w:rFonts w:ascii="Calibri" w:hAnsi="Calibri"/>
          <w:color w:val="4F81BD" w:themeColor="accent1"/>
          <w:lang w:eastAsia="en-US"/>
        </w:rPr>
      </w:pPr>
      <w:r w:rsidRPr="007A395D">
        <w:rPr>
          <w:rFonts w:ascii="Calibri" w:hAnsi="Calibri"/>
          <w:color w:val="4F81BD" w:themeColor="accent1"/>
          <w:lang w:eastAsia="en-US"/>
        </w:rPr>
        <w:t>Appendix heading 1</w:t>
      </w:r>
    </w:p>
    <w:p w14:paraId="16DF7C40" w14:textId="77777777" w:rsidR="004D1D85" w:rsidRPr="007A395D" w:rsidRDefault="004D1D85" w:rsidP="004D1D85">
      <w:pPr>
        <w:pStyle w:val="AnnexHeading2"/>
        <w:rPr>
          <w:rFonts w:ascii="Calibri" w:hAnsi="Calibri"/>
          <w:color w:val="4F81BD" w:themeColor="accent1"/>
          <w:lang w:eastAsia="en-US"/>
        </w:rPr>
      </w:pPr>
      <w:r w:rsidRPr="007A395D">
        <w:rPr>
          <w:rFonts w:ascii="Calibri" w:hAnsi="Calibri"/>
          <w:color w:val="4F81BD" w:themeColor="accent1"/>
          <w:lang w:eastAsia="en-US"/>
        </w:rPr>
        <w:t>Appendix heading 2</w:t>
      </w:r>
    </w:p>
    <w:p w14:paraId="16AE6650" w14:textId="77777777" w:rsidR="004D1D85" w:rsidRPr="007A395D" w:rsidRDefault="004D1D85" w:rsidP="004D1D85">
      <w:pPr>
        <w:pStyle w:val="AnnexHeading3"/>
        <w:rPr>
          <w:rFonts w:ascii="Calibri" w:hAnsi="Calibri"/>
          <w:lang w:eastAsia="en-US"/>
        </w:rPr>
      </w:pPr>
      <w:r w:rsidRPr="007A395D">
        <w:rPr>
          <w:rFonts w:ascii="Calibri" w:hAnsi="Calibri"/>
          <w:color w:val="4F81BD" w:themeColor="accent1"/>
          <w:lang w:eastAsia="en-US"/>
        </w:rPr>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F001D" w14:textId="77777777" w:rsidR="00601BCB" w:rsidRDefault="00601BCB" w:rsidP="00362CD9">
      <w:r>
        <w:separator/>
      </w:r>
    </w:p>
  </w:endnote>
  <w:endnote w:type="continuationSeparator" w:id="0">
    <w:p w14:paraId="248798A8" w14:textId="77777777" w:rsidR="00601BCB" w:rsidRDefault="00601BC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780C89">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E9816" w14:textId="77777777" w:rsidR="00601BCB" w:rsidRDefault="00601BCB" w:rsidP="00362CD9">
      <w:r>
        <w:separator/>
      </w:r>
    </w:p>
  </w:footnote>
  <w:footnote w:type="continuationSeparator" w:id="0">
    <w:p w14:paraId="3AF642BF" w14:textId="77777777" w:rsidR="00601BCB" w:rsidRDefault="00601BCB"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601BC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01BC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01BC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A6E349C"/>
    <w:multiLevelType w:val="hybridMultilevel"/>
    <w:tmpl w:val="00AAB4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22B34"/>
    <w:rsid w:val="00177F4D"/>
    <w:rsid w:val="00180DDA"/>
    <w:rsid w:val="001864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13FE"/>
    <w:rsid w:val="00431B19"/>
    <w:rsid w:val="004661AD"/>
    <w:rsid w:val="004A0048"/>
    <w:rsid w:val="004D1D85"/>
    <w:rsid w:val="004D3C3A"/>
    <w:rsid w:val="004E1CD1"/>
    <w:rsid w:val="00505253"/>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1BCB"/>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0C89"/>
    <w:rsid w:val="00783FEA"/>
    <w:rsid w:val="007A395D"/>
    <w:rsid w:val="007C346C"/>
    <w:rsid w:val="0080294B"/>
    <w:rsid w:val="0082480E"/>
    <w:rsid w:val="00850293"/>
    <w:rsid w:val="00851373"/>
    <w:rsid w:val="0085137C"/>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3B57"/>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2D9E"/>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251D"/>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1A447-ACEE-4ED0-A507-8D77D7B11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2016-11-07T11:48:00Z</dcterms:created>
  <dcterms:modified xsi:type="dcterms:W3CDTF">2016-12-29T13:42:00Z</dcterms:modified>
</cp:coreProperties>
</file>